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Ludovic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r w:rsidR="008043A5" w:rsidRPr="00AE70FA">
        <w:t>Aurélien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Cassandre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Yoav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r w:rsidR="004A26B3" w:rsidRPr="00AE70FA">
        <w:rPr>
          <w:lang w:val="fr-FR"/>
        </w:rPr>
        <w:t>Integrated Mycobacterial Pathogenomics</w:t>
      </w:r>
      <w:r w:rsidRPr="00AE70FA">
        <w:t>, Institut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To be confirmed</w:t>
      </w:r>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Biological Resources (ICAReB), </w:t>
      </w:r>
      <w:r w:rsidR="008043A5" w:rsidRPr="00AE70FA">
        <w:t>Institut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r w:rsidR="00D530AB" w:rsidRPr="00AE70FA">
        <w:t>Institut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To be confirmed</w:t>
      </w:r>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To be confirmed</w:t>
      </w:r>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09AB844E"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w:t>
      </w:r>
      <w:r w:rsidR="00C4418F">
        <w:t xml:space="preserve">putatively resistant </w:t>
      </w:r>
      <w:r w:rsidRPr="00AE70FA">
        <w:t xml:space="preserve">individuals </w:t>
      </w:r>
      <w:r w:rsidR="00C4418F">
        <w:t xml:space="preserve">diagnosed </w:t>
      </w:r>
      <w:r w:rsidR="0029366D" w:rsidRPr="00AE70FA">
        <w:t xml:space="preserve">with latent TB and from </w:t>
      </w:r>
      <w:r w:rsidR="00C4418F">
        <w:t xml:space="preserve">putatively susceptible </w:t>
      </w:r>
      <w:r w:rsidR="0029366D" w:rsidRPr="00AE70FA">
        <w:t>individuals</w:t>
      </w:r>
      <w:r w:rsidRPr="00AE70FA">
        <w:t xml:space="preserve"> </w:t>
      </w:r>
      <w:r w:rsidR="00C4418F">
        <w:t xml:space="preserve">that had recovered from a past episode of active </w:t>
      </w:r>
      <w:r w:rsidRPr="00AE70FA">
        <w:t>TB</w:t>
      </w:r>
      <w:r w:rsidR="0029366D" w:rsidRPr="00AE70FA">
        <w:t>. We</w:t>
      </w:r>
      <w:r w:rsidRPr="00AE70FA">
        <w:t xml:space="preserve"> measured genome-wide gene expression levels</w:t>
      </w:r>
      <w:r w:rsidR="00AF41AF">
        <w:t xml:space="preserve"> in infected and non-</w:t>
      </w:r>
      <w:r w:rsidR="005772EF" w:rsidRPr="00AE70FA">
        <w:t>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w:t>
      </w:r>
      <w:r w:rsidR="0028467D">
        <w:t>By intersecting the gene expression and GWAS data</w:t>
      </w:r>
      <w:r w:rsidR="00F54680" w:rsidRPr="00AE70FA">
        <w:t xml:space="preserve">,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w:t>
      </w:r>
      <w:r w:rsidR="00167586" w:rsidRPr="00AE70FA">
        <w:lastRenderedPageBreak/>
        <w:t>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lastRenderedPageBreak/>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using a processing pipeline designed to minimize the introduction of unwanted technical 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0BD6BEE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w:t>
      </w:r>
      <w:r w:rsidR="007C3A12">
        <w:t xml:space="preserve"> at a</w:t>
      </w:r>
      <w:r w:rsidR="00600649" w:rsidRPr="00AE70FA">
        <w:t xml:space="preserve"> q-value of 10%.</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\includegraphics[width=</w:t>
      </w:r>
      <w:r w:rsidR="002D4662" w:rsidRPr="00AE70FA">
        <w:t>\linewidth</w:t>
      </w:r>
      <w:r w:rsidRPr="00AE70FA">
        <w:t>]{</w:t>
      </w:r>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\caption{</w:t>
      </w:r>
    </w:p>
    <w:p w14:paraId="0B9724D7" w14:textId="0E229EDB" w:rsidR="00697A68" w:rsidRPr="00AE70FA" w:rsidRDefault="003E2289" w:rsidP="00697A68">
      <w:r w:rsidRPr="00AE70FA">
        <w:t xml:space="preserve">Differential expression analysis.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0ED30394"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\ref{fig:gwas-supp}</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\includegraphics[width=\linewidth]{../</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\caption{</w:t>
      </w:r>
    </w:p>
    <w:p w14:paraId="26B6D740" w14:textId="07428132"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\cite{LangoAllen2010}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r w:rsidR="00C406A0">
        <w:t>c-f</w:t>
      </w:r>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45EACD06"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w:t>
      </w:r>
      <w:r w:rsidR="007C3E09" w:rsidRPr="00AE70FA">
        <w:lastRenderedPageBreak/>
        <w:t>data sets available</w:t>
      </w:r>
      <w:r w:rsidR="00D34D37">
        <w:t xml:space="preserve"> (see </w:t>
      </w:r>
      <w:r w:rsidR="00D34D37" w:rsidRPr="00AE70FA">
        <w:t>Supplementary Fig. \ref</w:t>
      </w:r>
      <w:r w:rsidR="00D34D37" w:rsidRPr="00D34D37">
        <w:t>{fig:class-svm-thuong}</w:t>
      </w:r>
      <w:r w:rsidR="00D34D37">
        <w:t xml:space="preserve"> for the results of applying the classifier to a </w:t>
      </w:r>
      <w:r w:rsidR="00812667">
        <w:t>non-ideal</w:t>
      </w:r>
      <w:r w:rsidR="00D34D37">
        <w:t xml:space="preserve"> data set which measured gene expression in macrophages</w:t>
      </w:r>
      <w:r w:rsidR="00812667">
        <w:t xml:space="preserve"> from a small number of individuals</w:t>
      </w:r>
      <w:r w:rsidR="00D34D37">
        <w:t xml:space="preserve"> \cite{Thuong2008})</w:t>
      </w:r>
      <w:r w:rsidR="007C3E09" w:rsidRPr="00AE70FA">
        <w:t>.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r w:rsidR="007C3E09" w:rsidRPr="00AE70FA">
        <w:t xml:space="preserve">. </w:t>
      </w:r>
      <w:r w:rsidR="007D1C14">
        <w:t xml:space="preserve">Adjusting for the PPV obtained from the training set (~71%), our model predicted that ~7.7% of the healthy individuals were susceptible. </w:t>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\includegraphics[width=\linewidth]{../figure/classifier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\caption{</w:t>
      </w:r>
    </w:p>
    <w:p w14:paraId="76A0968A" w14:textId="21EE4EE6"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lastRenderedPageBreak/>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4738FBB1"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have converged to the same gene regulatory network</w:t>
      </w:r>
      <w:r w:rsidR="0095339F">
        <w:t xml:space="preserve">, </w:t>
      </w:r>
      <w:r w:rsidR="009B31C3">
        <w:t>presumably</w:t>
      </w:r>
      <w:r w:rsidR="009D3352" w:rsidRPr="00AE70FA">
        <w:t xml:space="preserve"> to fight the infection</w:t>
      </w:r>
      <w:r w:rsidR="00FA1282">
        <w:t xml:space="preserve"> (note 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ED434E">
        <w:t>;</w:t>
      </w:r>
      <w:r w:rsidR="00FA1282">
        <w:t xml:space="preserve"> Supplementary Fig. \ref{fig:</w:t>
      </w:r>
      <w:r w:rsidR="00794F80">
        <w:t>variance</w:t>
      </w:r>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w:t>
      </w:r>
      <w:r w:rsidR="00D74321" w:rsidRPr="00AE70FA">
        <w:lastRenderedPageBreak/>
        <w:t xml:space="preserve">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1131DAAA"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w:t>
      </w:r>
      <w:r w:rsidR="00EB619D">
        <w:t>-</w:t>
      </w:r>
      <w:r w:rsidR="00DF37B2" w:rsidRPr="00AE70FA">
        <w:t>infected</w:t>
      </w:r>
      <w:r w:rsidRPr="00AE70FA">
        <w:t xml:space="preserve"> innate immune cells isolated from </w:t>
      </w:r>
      <w:r w:rsidR="001909FF" w:rsidRPr="00AE70FA">
        <w:t>individuals</w:t>
      </w:r>
      <w:r w:rsidRPr="00AE70FA">
        <w:t xml:space="preserve"> known to be </w:t>
      </w:r>
      <w:r w:rsidR="00547D42">
        <w:t xml:space="preserve">putatively </w:t>
      </w:r>
      <w:r w:rsidRPr="00AE70FA">
        <w:t>susceptible to MTB</w:t>
      </w:r>
      <w:r w:rsidR="001909FF" w:rsidRPr="00AE70FA">
        <w:t xml:space="preserve"> (Thuong et al., 2008)</w:t>
      </w:r>
      <w:r w:rsidRPr="00AE70FA">
        <w:t xml:space="preserve">. However, there </w:t>
      </w:r>
      <w:r w:rsidR="00BA21AF" w:rsidRPr="00AE70FA">
        <w:t>were</w:t>
      </w:r>
      <w:r w:rsidRPr="00AE70FA">
        <w:t xml:space="preserve"> substantial differences between our study and that of Thuong et al., 2008 \cite{Thuong2008}. </w:t>
      </w:r>
      <w:r w:rsidR="005A1670" w:rsidRPr="00AE70FA">
        <w:t xml:space="preserve">First, they </w:t>
      </w:r>
      <w:r w:rsidR="00B773AA" w:rsidRPr="00AE70FA">
        <w:t xml:space="preserve">derived </w:t>
      </w:r>
      <w:r w:rsidR="005A1670" w:rsidRPr="00AE70FA">
        <w:t xml:space="preserve">and infected macrophages, the primary target host cell in which MTB resides; whereas, we </w:t>
      </w:r>
      <w:r w:rsidR="00AA6A1E">
        <w:t xml:space="preserve">derived and </w:t>
      </w:r>
      <w:r w:rsidR="005A1670" w:rsidRPr="00AE70FA">
        <w:t>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r w:rsidR="00C339D0">
        <w:t xml:space="preserve"> </w:t>
      </w:r>
      <w:r w:rsidR="00AA6A1E">
        <w:t xml:space="preserve">Third, they measured gene expression with microarrays; whereas, we used RNA-sequencing. </w:t>
      </w:r>
      <w:r w:rsidR="00C339D0">
        <w:t xml:space="preserve">Considering the substantial </w:t>
      </w:r>
      <w:r w:rsidR="00AA6A1E">
        <w:t>technical differences between the methods used and the biological differences</w:t>
      </w:r>
      <w:r w:rsidR="00C339D0">
        <w:t xml:space="preserve"> between DCs and macrophages \cite{</w:t>
      </w:r>
      <w:r w:rsidR="00424FE9" w:rsidRPr="00424FE9">
        <w:t>Chaussabel</w:t>
      </w:r>
      <w:r w:rsidR="00424FE9">
        <w:t>2003</w:t>
      </w:r>
      <w:r w:rsidR="00424FE9" w:rsidRPr="00424FE9">
        <w:t>,</w:t>
      </w:r>
      <w:r w:rsidR="00C339D0">
        <w:t xml:space="preserve">Tailleux2008}, unsurprisingly our classifier was unable to identify the susceptible individuals from </w:t>
      </w:r>
      <w:r w:rsidR="00C339D0" w:rsidRPr="00AE70FA">
        <w:t>Thuong</w:t>
      </w:r>
      <w:r w:rsidR="00C339D0">
        <w:t xml:space="preserve"> et al., 2008 \cite{Thuong2008} (</w:t>
      </w:r>
      <w:r w:rsidR="00C339D0" w:rsidRPr="00AE70FA">
        <w:t>Supplementary Fig. \ref</w:t>
      </w:r>
      <w:r w:rsidR="00C339D0" w:rsidRPr="00D34D37">
        <w:t>{fig:class-svm-thuong}</w:t>
      </w:r>
      <w:r w:rsidR="00C339D0">
        <w:t>).</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xml:space="preserve">, </w:t>
      </w:r>
      <w:r w:rsidR="009F7E77" w:rsidRPr="00AE70FA">
        <w:lastRenderedPageBreak/>
        <w:t>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CBB3CB7"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r w:rsidR="00F43875" w:rsidRPr="00AE70FA">
        <w:t>genes which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upregulated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eQTL post-infection but not pre-infection, which we called MTB-specific eQTL</w:t>
      </w:r>
      <w:r w:rsidR="00967637">
        <w:t>s</w:t>
      </w:r>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1599C860" w:rsidR="00D74CB1" w:rsidRPr="00AE70FA" w:rsidRDefault="0045091B" w:rsidP="000763D9">
      <w:r w:rsidRPr="00AE70FA">
        <w:lastRenderedPageBreak/>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 which is why we emphasize</w:t>
      </w:r>
      <w:r w:rsidR="001E624B">
        <w:t>d sensitivity over specificity.</w:t>
      </w:r>
    </w:p>
    <w:p w14:paraId="600EF027" w14:textId="77777777" w:rsidR="00D74CB1" w:rsidRPr="00AE70FA" w:rsidRDefault="00D74CB1" w:rsidP="000763D9"/>
    <w:p w14:paraId="57DD008D" w14:textId="41FD5B78"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4" w:name="methods"/>
      <w:bookmarkEnd w:id="3"/>
      <w:r w:rsidRPr="00AE70FA">
        <w:t>Methods</w:t>
      </w:r>
      <w:bookmarkStart w:id="5" w:name="references"/>
      <w:bookmarkEnd w:id="4"/>
    </w:p>
    <w:p w14:paraId="26A46CB2" w14:textId="77777777" w:rsidR="00A00EA4" w:rsidRPr="00AE70FA" w:rsidRDefault="00A00EA4" w:rsidP="0053091A">
      <w:pPr>
        <w:pStyle w:val="Heading2"/>
      </w:pPr>
      <w:r w:rsidRPr="00AE70FA">
        <w:t>Ethics Statement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written </w:t>
      </w:r>
      <w:r w:rsidR="002D2802" w:rsidRPr="00AE70FA">
        <w:rPr>
          <w:lang w:val="fr-FR"/>
        </w:rPr>
        <w:lastRenderedPageBreak/>
        <w:t>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w:t>
      </w:r>
      <w:r w:rsidR="0008458C" w:rsidRPr="00AE70FA">
        <w:lastRenderedPageBreak/>
        <w:t xml:space="preserve">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Infection batch correlated with PCs 3 and 5; however, we verified that this variation was not 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lastRenderedPageBreak/>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6" w:name="OLE_LINK1"/>
      <w:bookmarkStart w:id="7" w:name="OLE_LINK2"/>
      <w:r w:rsidR="0042029E" w:rsidRPr="00AE70FA">
        <w:t>\beta</w:t>
      </w:r>
      <w:r w:rsidR="007B596A" w:rsidRPr="00AE70FA">
        <w:t>_</w:t>
      </w:r>
      <w:r w:rsidR="0042029E" w:rsidRPr="00AE70FA">
        <w:t>{treat,status} = 0$</w:t>
      </w:r>
      <w:bookmarkEnd w:id="6"/>
      <w:bookmarkEnd w:id="7"/>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lastRenderedPageBreak/>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t>Classifier</w:t>
      </w:r>
    </w:p>
    <w:p w14:paraId="7E8C9699" w14:textId="7E8B51A0"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{fig:class-svm-thuong}</w:t>
      </w:r>
      <w:r w:rsidR="00E27459">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t>(</w:t>
      </w:r>
      <w:r w:rsidR="009C603C" w:rsidRPr="00AE70FA">
        <w:t>$\mu = 0$</w:t>
      </w:r>
      <w:r w:rsidR="009C603C">
        <w:t>,</w:t>
      </w:r>
      <w:r w:rsidR="009C603C" w:rsidRPr="00AE70FA">
        <w:t xml:space="preserve"> $\sigma = 1$</w:t>
      </w:r>
      <w:r w:rsidR="009C603C">
        <w:t>)</w:t>
      </w:r>
      <w:r w:rsidR="009C603C">
        <w:t xml:space="preserve"> distribution</w:t>
      </w:r>
      <w:r w:rsidR="00A301AC" w:rsidRPr="00AE70FA">
        <w:t xml:space="preserve"> (Supplementary Fig. </w:t>
      </w:r>
      <w:r w:rsidR="00EC6F33" w:rsidRPr="00AE70FA">
        <w:t>\ref{fig:combined-dist}</w:t>
      </w:r>
      <w:r w:rsidR="00D65DFF" w:rsidRPr="00AE70FA">
        <w:t xml:space="preserve">; note however that this strategy is unable to correct for the inability of </w:t>
      </w:r>
      <w:r w:rsidR="00D65DFF" w:rsidRPr="00AE70FA">
        <w:lastRenderedPageBreak/>
        <w:t>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590DC782"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\ref{fig:classifier}a</w:t>
      </w:r>
      <w:r w:rsidR="00EB0F4D" w:rsidRPr="00AE70FA">
        <w:t xml:space="preserve"> </w:t>
      </w:r>
      <w:r w:rsidR="00EB0F4D">
        <w:t>,</w:t>
      </w:r>
      <w:r w:rsidR="00A12A84" w:rsidRPr="00AE70FA">
        <w:t>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\ref{fig:classifier}b).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w:t>
      </w:r>
      <w:r w:rsidR="008A18BE" w:rsidRPr="00AE70FA">
        <w:lastRenderedPageBreak/>
        <w:t xml:space="preserve">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(http://www.bioinformatics.babraham.ac.uk/projects/fastqc/)</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60219A6" w:rsidR="00E43BCC"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query/acc.cgi?acc=GSEXXXXX).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ergey Nejentsev (</w:t>
      </w:r>
      <w:r w:rsidR="00BC7B41" w:rsidRPr="00BB634A">
        <w:t>sn262@cam.ac.uk</w:t>
      </w:r>
      <w:r w:rsidR="00BC7B41">
        <w:t xml:space="preserve">), </w:t>
      </w:r>
      <w:r>
        <w:t>Ghana</w:t>
      </w:r>
      <w:r w:rsidR="00BC7B41">
        <w:t xml:space="preserve"> and The Gambia -</w:t>
      </w:r>
      <w:r>
        <w:t xml:space="preserve"> </w:t>
      </w:r>
      <w:r w:rsidR="00BC7B41" w:rsidRPr="00BC7B41">
        <w:t xml:space="preserve">Thorsten Thye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lastRenderedPageBreak/>
        <w:t>Acknowledgements</w:t>
      </w:r>
    </w:p>
    <w:p w14:paraId="14E5B458" w14:textId="404AD95F" w:rsidR="00C12D99" w:rsidRPr="00AE70FA" w:rsidRDefault="00180D5B" w:rsidP="00835A3F">
      <w:r>
        <w:t xml:space="preserve">We thank Matthew Stephens and John Novembre for providing feedback and Gilad lab members for helpful discussion. </w:t>
      </w:r>
      <w:r w:rsidRPr="00AE70FA">
        <w:t>We thank Marie-Noëlle Ungeheuer for help recruiting subjects.</w:t>
      </w:r>
      <w:r>
        <w:t xml:space="preserve"> We thank </w:t>
      </w:r>
      <w:r w:rsidRPr="00BC7B41">
        <w:t>S</w:t>
      </w:r>
      <w:r>
        <w:t>ergey Nejentsev</w:t>
      </w:r>
      <w:r w:rsidR="00835A3F">
        <w:t xml:space="preserve"> for sharing data from the GWAS in Russia. We thank</w:t>
      </w:r>
      <w:r>
        <w:t xml:space="preserve"> </w:t>
      </w:r>
      <w:r w:rsidR="00FA1AE0" w:rsidRPr="00AE70FA">
        <w:t>T</w:t>
      </w:r>
      <w:r>
        <w:t>horsten Thye for</w:t>
      </w:r>
      <w:r w:rsidR="00835A3F">
        <w:t xml:space="preserve"> sharing data from</w:t>
      </w:r>
      <w:r>
        <w:t xml:space="preserve"> the GWAS in Ghana and The Gambia</w:t>
      </w:r>
      <w:r w:rsidR="00835A3F">
        <w:t>. We thank Rafal S. Sobota, Catherine M. Stein,</w:t>
      </w:r>
      <w:r w:rsidR="00C37363">
        <w:t xml:space="preserve"> </w:t>
      </w:r>
      <w:r w:rsidR="00C37363" w:rsidRPr="00C37363">
        <w:t>Giorgio Sirugo,</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43A9919C"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and L.B.B</w:t>
      </w:r>
      <w:r w:rsidR="00481DDE" w:rsidRPr="00AE70FA">
        <w:t>.</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5"/>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17177A0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 xml:space="preserve">PC5 versus PC6.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\begin{figure}[ht]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\includegraphics[width=</w:t>
      </w:r>
      <w:r>
        <w:t>\linewidth]{../figure/variance</w:t>
      </w:r>
      <w:r w:rsidRPr="00AE70FA">
        <w:t>.pdf}</w:t>
      </w:r>
    </w:p>
    <w:p w14:paraId="19F67E81" w14:textId="77777777" w:rsidR="00EB6210" w:rsidRPr="00AE70FA" w:rsidRDefault="00EB6210" w:rsidP="00EB6210">
      <w:pPr>
        <w:pStyle w:val="LaTeX"/>
      </w:pPr>
      <w:r w:rsidRPr="00AE70FA">
        <w:t>\caption{</w:t>
      </w:r>
    </w:p>
    <w:p w14:paraId="4C9318E9" w14:textId="17EB71FA"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 xml:space="preserve">-transformed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11,336 genes which were not differentially expression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\includegraphics[width=</w:t>
      </w:r>
      <w:r w:rsidR="00F33E56">
        <w:t>6in</w:t>
      </w:r>
      <w:r w:rsidRPr="00AE70FA">
        <w:t>]{../figure/gwas-</w:t>
      </w:r>
      <w:r w:rsidR="009262AB">
        <w:t>figures</w:t>
      </w:r>
      <w:r w:rsidRPr="00AE70FA">
        <w:t>.pdf}</w:t>
      </w:r>
    </w:p>
    <w:p w14:paraId="19FA9DC9" w14:textId="77777777" w:rsidR="002D4008" w:rsidRPr="00AE70FA" w:rsidRDefault="002D4008" w:rsidP="002D4008">
      <w:pPr>
        <w:pStyle w:val="LaTeX"/>
      </w:pPr>
      <w:r w:rsidRPr="00AE70FA">
        <w:t>\caption{</w:t>
      </w:r>
    </w:p>
    <w:p w14:paraId="1B2873E0" w14:textId="15BAEC99"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096ED133"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1F45EAAA"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\includegraphics[width=</w:t>
      </w:r>
      <w:r w:rsidR="00564B05">
        <w:t>4</w:t>
      </w:r>
      <w:bookmarkStart w:id="8" w:name="_GoBack"/>
      <w:bookmarkEnd w:id="8"/>
      <w:r w:rsidR="004F25BC">
        <w:t>in</w:t>
      </w:r>
      <w:r w:rsidRPr="00AE70FA">
        <w:t>]{../figure/classifier-exp.pdf}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\begin{figure}[ht]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ewidth]{../figure/classifier-svm-thuong</w:t>
      </w:r>
      <w:r w:rsidRPr="00AE70FA">
        <w:t>.pdf}</w:t>
      </w:r>
    </w:p>
    <w:p w14:paraId="268D1411" w14:textId="77777777" w:rsidR="00B325F0" w:rsidRPr="00AE70FA" w:rsidRDefault="00B325F0" w:rsidP="00B325F0">
      <w:pPr>
        <w:pStyle w:val="LaTeX"/>
      </w:pPr>
      <w:r w:rsidRPr="00AE70FA">
        <w:t>\caption{</w:t>
      </w:r>
    </w:p>
    <w:p w14:paraId="7092E087" w14:textId="56DE9FED" w:rsidR="006740F9" w:rsidRPr="00AE70FA" w:rsidRDefault="006740F9" w:rsidP="006740F9">
      <w:r w:rsidRPr="00AE70FA">
        <w:t xml:space="preserve">Classifying </w:t>
      </w:r>
      <w:r>
        <w:t>individuals from Thuong et al., 2008</w:t>
      </w:r>
      <w:r w:rsidRPr="00AE70FA">
        <w:t>\cite{</w:t>
      </w:r>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 xml:space="preserve">Fig. \ref{fig:classifier},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Thuong et al., 2008</w:t>
      </w:r>
      <w:r w:rsidR="00250F30" w:rsidRPr="00AE70FA">
        <w:t>\cite{</w:t>
      </w:r>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resistance from the leave-one-out-cross-validation for individuals in the current study. The blue circles represent individuals known to be susceptible to TB, and orange those resistant to TB. The horizontal dashed red line at a probability of 0.75 separates susceptible and resistant individuals. (b) The estimates of predicted probability of TB resistance 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\label{fig:class-svm-thuong</w:t>
      </w:r>
      <w:r w:rsidRPr="00AE70FA">
        <w:t>}</w:t>
      </w:r>
    </w:p>
    <w:p w14:paraId="3C692515" w14:textId="29A21CAE" w:rsidR="00B325F0" w:rsidRPr="00AE70FA" w:rsidRDefault="00B325F0" w:rsidP="00B325F0">
      <w:pPr>
        <w:pStyle w:val="LaTeX"/>
      </w:pPr>
      <w:r w:rsidRPr="00AE70FA">
        <w:t>\end{figure}</w:t>
      </w: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w:t>
      </w:r>
      <w:r w:rsidR="00844446">
        <w:t xml:space="preserve">p-values for the GWAS SNP assigned to each gene from each study. </w:t>
      </w:r>
      <w:r w:rsidR="0082223C">
        <w:t>The columns “</w:t>
      </w:r>
      <w:r w:rsidR="0082223C" w:rsidRPr="0082223C">
        <w:t>gwas_p_russia</w:t>
      </w:r>
      <w:r w:rsidR="0082223C">
        <w:t>”, “</w:t>
      </w:r>
      <w:r w:rsidR="0082223C" w:rsidRPr="0082223C">
        <w:t>gwas_p_gambia</w:t>
      </w:r>
      <w:r w:rsidR="0082223C">
        <w:t>”, “</w:t>
      </w:r>
      <w:r w:rsidR="0082223C" w:rsidRPr="0082223C">
        <w:t>gwas_p_ghana</w:t>
      </w:r>
      <w:r w:rsidR="0082223C">
        <w:t>”, “</w:t>
      </w:r>
      <w:r w:rsidR="0082223C" w:rsidRPr="0082223C">
        <w:t>gwas_p_uganda</w:t>
      </w:r>
      <w:r w:rsidR="0082223C">
        <w:t>”, “</w:t>
      </w:r>
      <w:r w:rsidR="0082223C" w:rsidRPr="0082223C">
        <w:t>gwas_p_height</w:t>
      </w:r>
      <w:r w:rsidR="0082223C">
        <w:t>” contain the p-values from the TB susceptibility GWAS in Russia, The Gambia, Ghana, Uganda and Tanzania, and the height GWAS in Europeans, respectively</w:t>
      </w:r>
      <w:r w:rsidRPr="00AE70FA">
        <w:t xml:space="preserve">. The columns </w:t>
      </w:r>
      <w:r w:rsidR="008611A3">
        <w:t>“</w:t>
      </w:r>
      <w:r w:rsidRPr="00AE70FA">
        <w:t>status_ni</w:t>
      </w:r>
      <w:r w:rsidR="008611A3">
        <w:t>”</w:t>
      </w:r>
      <w:r w:rsidRPr="00AE70FA">
        <w:t xml:space="preserve">, </w:t>
      </w:r>
      <w:r w:rsidR="008611A3">
        <w:t>“</w:t>
      </w:r>
      <w:r w:rsidRPr="00AE70FA">
        <w:t>status_ii</w:t>
      </w:r>
      <w:r w:rsidR="008611A3">
        <w:t>”</w:t>
      </w:r>
      <w:r w:rsidRPr="00AE70FA">
        <w:t xml:space="preserve">, </w:t>
      </w:r>
      <w:r w:rsidR="008611A3">
        <w:t>“</w:t>
      </w:r>
      <w:r w:rsidRPr="00AE70FA">
        <w:t>treat_resist</w:t>
      </w:r>
      <w:r w:rsidR="008611A3">
        <w:t>”</w:t>
      </w:r>
      <w:r w:rsidRPr="00AE70FA">
        <w:t xml:space="preserve">, and </w:t>
      </w:r>
      <w:r w:rsidR="008611A3">
        <w:t>“</w:t>
      </w:r>
      <w:r w:rsidRPr="00AE70FA">
        <w:t>treat_suscep</w:t>
      </w:r>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 xml:space="preserve">greater than 2 between resistant and susceptible individuals in the non-infected state (“status_ni”).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35AA188C"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 xml:space="preserve">value less than 0.05 (Fig. \ref{fig:classifier}).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\cite{Barreiro2012}. The column “prob_tb_resist” is the probability of being resistant to TB assigned by the model. (xlsx)</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ADAAE7" w14:textId="77777777" w:rsidR="007D3C14" w:rsidRDefault="007D3C14" w:rsidP="00224E16">
      <w:pPr>
        <w:spacing w:line="240" w:lineRule="auto"/>
      </w:pPr>
      <w:r>
        <w:separator/>
      </w:r>
    </w:p>
  </w:endnote>
  <w:endnote w:type="continuationSeparator" w:id="0">
    <w:p w14:paraId="3A4B6E90" w14:textId="77777777" w:rsidR="007D3C14" w:rsidRDefault="007D3C14" w:rsidP="00224E16">
      <w:pPr>
        <w:spacing w:line="240" w:lineRule="auto"/>
      </w:pPr>
      <w:r>
        <w:continuationSeparator/>
      </w:r>
    </w:p>
  </w:endnote>
  <w:endnote w:type="continuationNotice" w:id="1">
    <w:p w14:paraId="16A088A6" w14:textId="77777777" w:rsidR="007D3C14" w:rsidRDefault="007D3C1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564B05">
          <w:rPr>
            <w:noProof/>
          </w:rPr>
          <w:t>37</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6E3010" w14:textId="77777777" w:rsidR="007D3C14" w:rsidRDefault="007D3C14" w:rsidP="00224E16">
      <w:pPr>
        <w:spacing w:line="240" w:lineRule="auto"/>
      </w:pPr>
      <w:r>
        <w:separator/>
      </w:r>
    </w:p>
  </w:footnote>
  <w:footnote w:type="continuationSeparator" w:id="0">
    <w:p w14:paraId="2C3DD911" w14:textId="77777777" w:rsidR="007D3C14" w:rsidRDefault="007D3C14" w:rsidP="00224E16">
      <w:pPr>
        <w:spacing w:line="240" w:lineRule="auto"/>
      </w:pPr>
      <w:r>
        <w:continuationSeparator/>
      </w:r>
    </w:p>
  </w:footnote>
  <w:footnote w:type="continuationNotice" w:id="1">
    <w:p w14:paraId="04AF1427" w14:textId="77777777" w:rsidR="007D3C14" w:rsidRDefault="007D3C14">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2D92"/>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24A4"/>
    <w:rsid w:val="0017589B"/>
    <w:rsid w:val="00176326"/>
    <w:rsid w:val="00180D5B"/>
    <w:rsid w:val="00181D7D"/>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2F50"/>
    <w:rsid w:val="001E4DFE"/>
    <w:rsid w:val="001E624B"/>
    <w:rsid w:val="001F03E0"/>
    <w:rsid w:val="001F3768"/>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6510"/>
    <w:rsid w:val="0024725C"/>
    <w:rsid w:val="00247CF1"/>
    <w:rsid w:val="00250F30"/>
    <w:rsid w:val="00260C91"/>
    <w:rsid w:val="00260F99"/>
    <w:rsid w:val="00262ED2"/>
    <w:rsid w:val="00264CDF"/>
    <w:rsid w:val="00267EDF"/>
    <w:rsid w:val="00270A0B"/>
    <w:rsid w:val="00271127"/>
    <w:rsid w:val="00274F57"/>
    <w:rsid w:val="00283293"/>
    <w:rsid w:val="00283C33"/>
    <w:rsid w:val="0028467D"/>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0C35"/>
    <w:rsid w:val="002E2EA8"/>
    <w:rsid w:val="002E517D"/>
    <w:rsid w:val="002E553E"/>
    <w:rsid w:val="002F6C23"/>
    <w:rsid w:val="002F7B7F"/>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1D71"/>
    <w:rsid w:val="003662A4"/>
    <w:rsid w:val="00366838"/>
    <w:rsid w:val="00370968"/>
    <w:rsid w:val="00370A5B"/>
    <w:rsid w:val="00371A52"/>
    <w:rsid w:val="0037240C"/>
    <w:rsid w:val="00376917"/>
    <w:rsid w:val="00381890"/>
    <w:rsid w:val="003834B4"/>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604B"/>
    <w:rsid w:val="003F6076"/>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2394"/>
    <w:rsid w:val="004C2D5B"/>
    <w:rsid w:val="004C61CC"/>
    <w:rsid w:val="004D469C"/>
    <w:rsid w:val="004E111A"/>
    <w:rsid w:val="004E1C3B"/>
    <w:rsid w:val="004E24F1"/>
    <w:rsid w:val="004E29B3"/>
    <w:rsid w:val="004E3338"/>
    <w:rsid w:val="004E376B"/>
    <w:rsid w:val="004E7490"/>
    <w:rsid w:val="004E74D6"/>
    <w:rsid w:val="004F1D96"/>
    <w:rsid w:val="004F25BC"/>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47D42"/>
    <w:rsid w:val="005518A7"/>
    <w:rsid w:val="00552AAA"/>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D5B"/>
    <w:rsid w:val="005772EF"/>
    <w:rsid w:val="00580AD8"/>
    <w:rsid w:val="00580FF7"/>
    <w:rsid w:val="0058176F"/>
    <w:rsid w:val="00582123"/>
    <w:rsid w:val="00583608"/>
    <w:rsid w:val="00583674"/>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689F"/>
    <w:rsid w:val="00607761"/>
    <w:rsid w:val="006077DE"/>
    <w:rsid w:val="00611E44"/>
    <w:rsid w:val="006132C0"/>
    <w:rsid w:val="006230C4"/>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7C04"/>
    <w:rsid w:val="007517C1"/>
    <w:rsid w:val="007521B2"/>
    <w:rsid w:val="007545D6"/>
    <w:rsid w:val="00754DDA"/>
    <w:rsid w:val="00756628"/>
    <w:rsid w:val="00761BF1"/>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596A"/>
    <w:rsid w:val="007C0301"/>
    <w:rsid w:val="007C0EF3"/>
    <w:rsid w:val="007C3548"/>
    <w:rsid w:val="007C3A12"/>
    <w:rsid w:val="007C3E09"/>
    <w:rsid w:val="007C6A51"/>
    <w:rsid w:val="007C7C77"/>
    <w:rsid w:val="007D0861"/>
    <w:rsid w:val="007D12C7"/>
    <w:rsid w:val="007D1C14"/>
    <w:rsid w:val="007D3AA8"/>
    <w:rsid w:val="007D3C14"/>
    <w:rsid w:val="007D430A"/>
    <w:rsid w:val="007D6425"/>
    <w:rsid w:val="007D73C9"/>
    <w:rsid w:val="007E13C5"/>
    <w:rsid w:val="007E34EF"/>
    <w:rsid w:val="007E498B"/>
    <w:rsid w:val="007E5BCF"/>
    <w:rsid w:val="007F157D"/>
    <w:rsid w:val="007F3F84"/>
    <w:rsid w:val="007F3FDB"/>
    <w:rsid w:val="007F6F73"/>
    <w:rsid w:val="007F7065"/>
    <w:rsid w:val="007F78C1"/>
    <w:rsid w:val="008030F6"/>
    <w:rsid w:val="008043A5"/>
    <w:rsid w:val="00805DBA"/>
    <w:rsid w:val="0080645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4F4C"/>
    <w:rsid w:val="008359C1"/>
    <w:rsid w:val="00835A3F"/>
    <w:rsid w:val="0084233C"/>
    <w:rsid w:val="00843131"/>
    <w:rsid w:val="00844446"/>
    <w:rsid w:val="008463CA"/>
    <w:rsid w:val="0085277A"/>
    <w:rsid w:val="00853960"/>
    <w:rsid w:val="008561C5"/>
    <w:rsid w:val="008566D9"/>
    <w:rsid w:val="00857379"/>
    <w:rsid w:val="008611A3"/>
    <w:rsid w:val="00862F9D"/>
    <w:rsid w:val="00867ED0"/>
    <w:rsid w:val="00885732"/>
    <w:rsid w:val="00885CAA"/>
    <w:rsid w:val="008870E7"/>
    <w:rsid w:val="00887BD1"/>
    <w:rsid w:val="00891A07"/>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2131"/>
    <w:rsid w:val="00A62384"/>
    <w:rsid w:val="00A70383"/>
    <w:rsid w:val="00A73A70"/>
    <w:rsid w:val="00A7661D"/>
    <w:rsid w:val="00A80BC7"/>
    <w:rsid w:val="00A83FF4"/>
    <w:rsid w:val="00A84056"/>
    <w:rsid w:val="00A840AE"/>
    <w:rsid w:val="00A84A8B"/>
    <w:rsid w:val="00A85F35"/>
    <w:rsid w:val="00A8653F"/>
    <w:rsid w:val="00A87E2A"/>
    <w:rsid w:val="00A90A31"/>
    <w:rsid w:val="00A96A24"/>
    <w:rsid w:val="00AA13FE"/>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70FA"/>
    <w:rsid w:val="00AF41AF"/>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6008"/>
    <w:rsid w:val="00BE0B89"/>
    <w:rsid w:val="00BE33DD"/>
    <w:rsid w:val="00BE459A"/>
    <w:rsid w:val="00BE4C30"/>
    <w:rsid w:val="00BF18FF"/>
    <w:rsid w:val="00BF1E7D"/>
    <w:rsid w:val="00BF26B9"/>
    <w:rsid w:val="00C00FBE"/>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56272"/>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34E"/>
    <w:rsid w:val="00ED5AE1"/>
    <w:rsid w:val="00ED6898"/>
    <w:rsid w:val="00EE31FE"/>
    <w:rsid w:val="00EE7222"/>
    <w:rsid w:val="00EE7DC3"/>
    <w:rsid w:val="00EF07A1"/>
    <w:rsid w:val="00EF1ED2"/>
    <w:rsid w:val="00EF20F6"/>
    <w:rsid w:val="00EF7EA1"/>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4BA5"/>
    <w:rsid w:val="00F47329"/>
    <w:rsid w:val="00F529C7"/>
    <w:rsid w:val="00F52C99"/>
    <w:rsid w:val="00F54680"/>
    <w:rsid w:val="00F55ADC"/>
    <w:rsid w:val="00F61731"/>
    <w:rsid w:val="00F63AF5"/>
    <w:rsid w:val="00F6475F"/>
    <w:rsid w:val="00F65D2C"/>
    <w:rsid w:val="00F66378"/>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58F"/>
    <w:rsid w:val="00FA1282"/>
    <w:rsid w:val="00FA1AE0"/>
    <w:rsid w:val="00FA1AF7"/>
    <w:rsid w:val="00FA27F0"/>
    <w:rsid w:val="00FA39D7"/>
    <w:rsid w:val="00FA447C"/>
    <w:rsid w:val="00FA548C"/>
    <w:rsid w:val="00FB3130"/>
    <w:rsid w:val="00FB3DC1"/>
    <w:rsid w:val="00FC0073"/>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36EAFAA8-EA86-442D-B76A-90A6AFCFCF3A}">
  <ds:schemaRefs>
    <ds:schemaRef ds:uri="http://schemas.openxmlformats.org/officeDocument/2006/bibliography"/>
  </ds:schemaRefs>
</ds:datastoreItem>
</file>

<file path=customXml/itemProps2.xml><?xml version="1.0" encoding="utf-8"?>
<ds:datastoreItem xmlns:ds="http://schemas.openxmlformats.org/officeDocument/2006/customXml" ds:itemID="{EBD9A366-EDED-445D-A82E-67238EA2B40F}">
  <ds:schemaRefs>
    <ds:schemaRef ds:uri="http://schemas.openxmlformats.org/officeDocument/2006/bibliography"/>
  </ds:schemaRefs>
</ds:datastoreItem>
</file>

<file path=customXml/itemProps3.xml><?xml version="1.0" encoding="utf-8"?>
<ds:datastoreItem xmlns:ds="http://schemas.openxmlformats.org/officeDocument/2006/customXml" ds:itemID="{25C1814D-7E76-43AB-ACEE-4AC837C1B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40</Pages>
  <Words>9231</Words>
  <Characters>52618</Characters>
  <Application>Microsoft Office Word</Application>
  <DocSecurity>0</DocSecurity>
  <Lines>438</Lines>
  <Paragraphs>123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61726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222</cp:revision>
  <dcterms:created xsi:type="dcterms:W3CDTF">2016-11-08T09:10:00Z</dcterms:created>
  <dcterms:modified xsi:type="dcterms:W3CDTF">2017-01-17T18:50:00Z</dcterms:modified>
</cp:coreProperties>
</file>